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B1F" w:rsidRPr="00AD5B1F" w:rsidRDefault="00AD5B1F" w:rsidP="00AD5B1F">
      <w:pPr>
        <w:spacing w:beforeLines="1" w:afterLines="1"/>
        <w:jc w:val="center"/>
        <w:outlineLvl w:val="0"/>
        <w:rPr>
          <w:rFonts w:ascii="Times" w:hAnsi="Times"/>
          <w:b/>
          <w:kern w:val="36"/>
          <w:sz w:val="48"/>
          <w:szCs w:val="20"/>
          <w:lang w:eastAsia="it-IT"/>
        </w:rPr>
      </w:pPr>
      <w:r w:rsidRPr="00AD5B1F">
        <w:rPr>
          <w:rFonts w:ascii="Times" w:hAnsi="Times"/>
          <w:b/>
          <w:kern w:val="36"/>
          <w:sz w:val="48"/>
          <w:szCs w:val="20"/>
          <w:lang w:eastAsia="it-IT"/>
        </w:rPr>
        <w:t>Articolo 16 Testo unico sull'immigrazione</w:t>
      </w:r>
    </w:p>
    <w:p w:rsidR="00AD5B1F" w:rsidRPr="00AD5B1F" w:rsidRDefault="00AD5B1F" w:rsidP="00AD5B1F">
      <w:pPr>
        <w:spacing w:beforeLines="1" w:afterLines="1"/>
        <w:jc w:val="center"/>
        <w:outlineLvl w:val="1"/>
        <w:rPr>
          <w:rFonts w:ascii="Times" w:hAnsi="Times"/>
          <w:b/>
          <w:sz w:val="36"/>
          <w:szCs w:val="20"/>
          <w:lang w:eastAsia="it-IT"/>
        </w:rPr>
      </w:pPr>
      <w:r w:rsidRPr="00AD5B1F">
        <w:rPr>
          <w:rFonts w:ascii="Times" w:hAnsi="Times"/>
          <w:b/>
          <w:sz w:val="36"/>
          <w:szCs w:val="20"/>
          <w:lang w:eastAsia="it-IT"/>
        </w:rPr>
        <w:t>(D.lgs. 25 luglio 1998, n. 286)</w:t>
      </w:r>
    </w:p>
    <w:p w:rsidR="00AD5B1F" w:rsidRPr="00AD5B1F" w:rsidRDefault="00AD5B1F" w:rsidP="00AD5B1F">
      <w:pPr>
        <w:jc w:val="center"/>
        <w:rPr>
          <w:rFonts w:ascii="Times" w:hAnsi="Times"/>
          <w:sz w:val="20"/>
          <w:szCs w:val="20"/>
          <w:lang w:eastAsia="it-IT"/>
        </w:rPr>
      </w:pPr>
      <w:r w:rsidRPr="00AD5B1F">
        <w:rPr>
          <w:rFonts w:ascii="Times" w:hAnsi="Times"/>
          <w:sz w:val="15"/>
          <w:szCs w:val="20"/>
          <w:lang w:eastAsia="it-IT"/>
        </w:rPr>
        <w:t>[Aggiornato al 25/02/2025]</w:t>
      </w:r>
    </w:p>
    <w:p w:rsidR="00AD5B1F" w:rsidRPr="00AD5B1F" w:rsidRDefault="00AD5B1F" w:rsidP="00AD5B1F">
      <w:pPr>
        <w:spacing w:beforeLines="1" w:afterLines="1"/>
        <w:jc w:val="center"/>
        <w:outlineLvl w:val="2"/>
        <w:rPr>
          <w:rFonts w:ascii="Times" w:hAnsi="Times"/>
          <w:b/>
          <w:sz w:val="27"/>
          <w:szCs w:val="20"/>
          <w:lang w:eastAsia="it-IT"/>
        </w:rPr>
      </w:pPr>
      <w:r w:rsidRPr="00AD5B1F">
        <w:rPr>
          <w:rFonts w:ascii="Times" w:hAnsi="Times"/>
          <w:b/>
          <w:sz w:val="27"/>
          <w:szCs w:val="20"/>
          <w:lang w:eastAsia="it-IT"/>
        </w:rPr>
        <w:t>Espulsione a titolo di sanzione sostitutiva o alternativa alla detenzione</w:t>
      </w:r>
    </w:p>
    <w:p w:rsidR="00F4158C" w:rsidRDefault="00F4158C" w:rsidP="00EF0CB4">
      <w:pPr>
        <w:jc w:val="center"/>
      </w:pPr>
    </w:p>
    <w:p w:rsidR="00F4158C" w:rsidRDefault="00F4158C" w:rsidP="00F4158C">
      <w:pPr>
        <w:jc w:val="center"/>
      </w:pPr>
    </w:p>
    <w:p w:rsidR="00AD5B1F" w:rsidRDefault="00AD5B1F" w:rsidP="00AD5B1F">
      <w:pPr>
        <w:pStyle w:val="comma"/>
        <w:spacing w:before="2" w:after="2"/>
        <w:rPr>
          <w:rFonts w:cs="Times New Roman"/>
        </w:rPr>
      </w:pPr>
      <w:r>
        <w:rPr>
          <w:rFonts w:cs="Times New Roman"/>
        </w:rPr>
        <w:t xml:space="preserve">1. Il giudice, nel pronunciare sentenza di condanna per un reato non colposo o nell'applicare la pena su richiesta ai sensi dell'articolo </w:t>
      </w:r>
      <w:hyperlink r:id="rId5" w:history="1">
        <w:r>
          <w:rPr>
            <w:rStyle w:val="Collegamentoipertestuale"/>
            <w:rFonts w:cs="Times New Roman"/>
          </w:rPr>
          <w:t>444</w:t>
        </w:r>
      </w:hyperlink>
      <w:r>
        <w:rPr>
          <w:rFonts w:cs="Times New Roman"/>
        </w:rPr>
        <w:t xml:space="preserve"> del codice di procedura penale nei confronti dello straniero che si trovi in taluna delle situazioni indicate nell'articolo </w:t>
      </w:r>
      <w:hyperlink r:id="rId6" w:history="1">
        <w:r>
          <w:rPr>
            <w:rStyle w:val="Collegamentoipertestuale"/>
            <w:rFonts w:cs="Times New Roman"/>
          </w:rPr>
          <w:t>13</w:t>
        </w:r>
      </w:hyperlink>
      <w:r>
        <w:rPr>
          <w:rFonts w:cs="Times New Roman"/>
        </w:rPr>
        <w:t xml:space="preserve">, comma 2, quando ritiene di dovere irrogare la pena detentiva entro il limite di due anni e non ricorrono le condizioni per ordinare la sospensione condizionale della pena ai sensi dell'articolo </w:t>
      </w:r>
      <w:hyperlink r:id="rId7" w:history="1">
        <w:r>
          <w:rPr>
            <w:rStyle w:val="Collegamentoipertestuale"/>
            <w:rFonts w:cs="Times New Roman"/>
          </w:rPr>
          <w:t>163</w:t>
        </w:r>
      </w:hyperlink>
      <w:r>
        <w:rPr>
          <w:rFonts w:cs="Times New Roman"/>
        </w:rPr>
        <w:t xml:space="preserve"> del codice penale ovvero nel pronunciare sentenza di condanna per il reato di cui all'articolo </w:t>
      </w:r>
      <w:hyperlink r:id="rId8" w:history="1">
        <w:r>
          <w:rPr>
            <w:rStyle w:val="Collegamentoipertestuale"/>
            <w:rFonts w:cs="Times New Roman"/>
          </w:rPr>
          <w:t>10 bis</w:t>
        </w:r>
      </w:hyperlink>
      <w:r>
        <w:rPr>
          <w:rFonts w:cs="Times New Roman"/>
        </w:rPr>
        <w:t xml:space="preserve">, qualora non ricorrano le cause ostative indicate nell'articolo </w:t>
      </w:r>
      <w:hyperlink r:id="rId9" w:history="1">
        <w:r>
          <w:rPr>
            <w:rStyle w:val="Collegamentoipertestuale"/>
            <w:rFonts w:cs="Times New Roman"/>
          </w:rPr>
          <w:t>14</w:t>
        </w:r>
      </w:hyperlink>
      <w:r>
        <w:rPr>
          <w:rFonts w:cs="Times New Roman"/>
        </w:rPr>
        <w:t xml:space="preserve">, comma 1, del presente testo unico, che impediscono l'esecuzione immediata dell'espulsione con accompagnamento alla frontiera a mezzo della forza pubblica, può sostituire la medesima pena con la misura dell'espulsione. Le disposizioni di cui al presente comma si applicano, in caso di sentenza di condanna, ai reati di cui all'articolo </w:t>
      </w:r>
      <w:hyperlink r:id="rId10" w:history="1">
        <w:r>
          <w:rPr>
            <w:rStyle w:val="Collegamentoipertestuale"/>
            <w:rFonts w:cs="Times New Roman"/>
          </w:rPr>
          <w:t>13</w:t>
        </w:r>
      </w:hyperlink>
      <w:r>
        <w:rPr>
          <w:rFonts w:cs="Times New Roman"/>
        </w:rPr>
        <w:t>, commi 5-ter e 5-quater.</w:t>
      </w:r>
    </w:p>
    <w:p w:rsidR="00AD5B1F" w:rsidRDefault="00AD5B1F" w:rsidP="00AD5B1F">
      <w:pPr>
        <w:pStyle w:val="comma"/>
        <w:spacing w:before="2" w:after="2"/>
        <w:rPr>
          <w:rFonts w:cs="Times New Roman"/>
        </w:rPr>
      </w:pPr>
      <w:r>
        <w:rPr>
          <w:rFonts w:cs="Times New Roman"/>
        </w:rPr>
        <w:t xml:space="preserve">1-bis. In caso di sentenza di condanna per i reati di cui all'articolo </w:t>
      </w:r>
      <w:hyperlink r:id="rId11" w:history="1">
        <w:r>
          <w:rPr>
            <w:rStyle w:val="Collegamentoipertestuale"/>
            <w:rFonts w:cs="Times New Roman"/>
          </w:rPr>
          <w:t>10 bis</w:t>
        </w:r>
      </w:hyperlink>
      <w:r>
        <w:rPr>
          <w:rFonts w:cs="Times New Roman"/>
        </w:rPr>
        <w:t xml:space="preserve"> o all'articolo </w:t>
      </w:r>
      <w:hyperlink r:id="rId12" w:history="1">
        <w:r>
          <w:rPr>
            <w:rStyle w:val="Collegamentoipertestuale"/>
            <w:rFonts w:cs="Times New Roman"/>
          </w:rPr>
          <w:t>14</w:t>
        </w:r>
      </w:hyperlink>
      <w:r>
        <w:rPr>
          <w:rFonts w:cs="Times New Roman"/>
        </w:rPr>
        <w:t xml:space="preserve">, commi 5-ter e 5-quater, la misura dell'espulsione di cui al comma 1 può essere disposta per la durata stabilita dall'articolo </w:t>
      </w:r>
      <w:hyperlink r:id="rId13" w:history="1">
        <w:r>
          <w:rPr>
            <w:rStyle w:val="Collegamentoipertestuale"/>
            <w:rFonts w:cs="Times New Roman"/>
          </w:rPr>
          <w:t>13</w:t>
        </w:r>
      </w:hyperlink>
      <w:r>
        <w:rPr>
          <w:rFonts w:cs="Times New Roman"/>
        </w:rPr>
        <w:t>, comma 14. Negli altri casi di cui al comma 1, la misura dell'espulsione può essere disposta per un periodo non inferiore a cinque anni.</w:t>
      </w:r>
    </w:p>
    <w:p w:rsidR="00AD5B1F" w:rsidRDefault="00AD5B1F" w:rsidP="00AD5B1F">
      <w:pPr>
        <w:pStyle w:val="comma"/>
        <w:spacing w:before="2" w:after="2"/>
        <w:rPr>
          <w:rFonts w:cs="Times New Roman"/>
        </w:rPr>
      </w:pPr>
      <w:r>
        <w:rPr>
          <w:rFonts w:cs="Times New Roman"/>
        </w:rPr>
        <w:t xml:space="preserve">2. L'espulsione di cui al comma 1 è eseguita dal questore anche se la sentenza non è irrevocabile, secondo le modalità di cui all'articolo </w:t>
      </w:r>
      <w:hyperlink r:id="rId14" w:history="1">
        <w:r>
          <w:rPr>
            <w:rStyle w:val="Collegamentoipertestuale"/>
            <w:rFonts w:cs="Times New Roman"/>
          </w:rPr>
          <w:t>13</w:t>
        </w:r>
      </w:hyperlink>
      <w:r>
        <w:rPr>
          <w:rFonts w:cs="Times New Roman"/>
        </w:rPr>
        <w:t>, comma 4.</w:t>
      </w:r>
    </w:p>
    <w:p w:rsidR="00AD5B1F" w:rsidRDefault="00AD5B1F" w:rsidP="00AD5B1F">
      <w:pPr>
        <w:pStyle w:val="comma"/>
        <w:spacing w:before="2" w:after="2"/>
        <w:rPr>
          <w:rFonts w:cs="Times New Roman"/>
        </w:rPr>
      </w:pPr>
      <w:r>
        <w:rPr>
          <w:rFonts w:cs="Times New Roman"/>
        </w:rPr>
        <w:t xml:space="preserve">3. L'espulsione di cui al comma 1 non può essere disposta nei casi in cui la condanna riguardi uno o più delitti previsti dall'articolo </w:t>
      </w:r>
      <w:hyperlink r:id="rId15" w:history="1">
        <w:r>
          <w:rPr>
            <w:rStyle w:val="Collegamentoipertestuale"/>
            <w:rFonts w:cs="Times New Roman"/>
          </w:rPr>
          <w:t>407</w:t>
        </w:r>
      </w:hyperlink>
      <w:r>
        <w:rPr>
          <w:rFonts w:cs="Times New Roman"/>
        </w:rPr>
        <w:t>, comma 2, lettera a), del codice di procedura penale, ovvero i delitti previsti dal presente testo unico, puniti con pena edittale superiore nel massimo a due anni.</w:t>
      </w:r>
    </w:p>
    <w:p w:rsidR="00AD5B1F" w:rsidRDefault="00AD5B1F" w:rsidP="00AD5B1F">
      <w:pPr>
        <w:pStyle w:val="comma"/>
        <w:spacing w:before="2" w:after="2"/>
        <w:rPr>
          <w:rFonts w:cs="Times New Roman"/>
        </w:rPr>
      </w:pPr>
      <w:r>
        <w:rPr>
          <w:rFonts w:cs="Times New Roman"/>
        </w:rPr>
        <w:t xml:space="preserve">4. Se lo straniero espulso a norma del comma 1 rientra illegalmente nel territorio dello Stato prima del termine previsto dall'articolo </w:t>
      </w:r>
      <w:hyperlink r:id="rId16" w:history="1">
        <w:r>
          <w:rPr>
            <w:rStyle w:val="Collegamentoipertestuale"/>
            <w:rFonts w:cs="Times New Roman"/>
          </w:rPr>
          <w:t>13</w:t>
        </w:r>
      </w:hyperlink>
      <w:r>
        <w:rPr>
          <w:rFonts w:cs="Times New Roman"/>
        </w:rPr>
        <w:t>, comma 14, la sanzione sostitutiva è revocata dal giudice competente.</w:t>
      </w:r>
    </w:p>
    <w:p w:rsidR="00AD5B1F" w:rsidRDefault="00AD5B1F" w:rsidP="00AD5B1F">
      <w:pPr>
        <w:pStyle w:val="comma"/>
        <w:spacing w:before="2" w:after="2"/>
        <w:rPr>
          <w:rFonts w:cs="Times New Roman"/>
        </w:rPr>
      </w:pPr>
      <w:r>
        <w:rPr>
          <w:rFonts w:cs="Times New Roman"/>
        </w:rPr>
        <w:t xml:space="preserve">5. Nei confronti dello straniero, identificato, detenuto, che si trova in taluna delle situazioni indicate nell'articolo </w:t>
      </w:r>
      <w:hyperlink r:id="rId17" w:history="1">
        <w:r>
          <w:rPr>
            <w:rStyle w:val="Collegamentoipertestuale"/>
            <w:rFonts w:cs="Times New Roman"/>
          </w:rPr>
          <w:t>13</w:t>
        </w:r>
      </w:hyperlink>
      <w:r>
        <w:rPr>
          <w:rFonts w:cs="Times New Roman"/>
        </w:rPr>
        <w:t xml:space="preserve">, comma 2, che deve scontare una pena detentiva, anche residua, non superiore a due anni, è disposta l'espulsione. Essa non può essere disposta nei casi di condanna per i delitti previsti dall'articolo </w:t>
      </w:r>
      <w:hyperlink r:id="rId18" w:history="1">
        <w:r>
          <w:rPr>
            <w:rStyle w:val="Collegamentoipertestuale"/>
            <w:rFonts w:cs="Times New Roman"/>
          </w:rPr>
          <w:t>12</w:t>
        </w:r>
      </w:hyperlink>
      <w:r>
        <w:rPr>
          <w:rFonts w:cs="Times New Roman"/>
        </w:rPr>
        <w:t xml:space="preserve">, commi 1, 3, 3-bis e 3-ter, del presente testo unico, ovvero per uno o più delitti previsti dall'articolo </w:t>
      </w:r>
      <w:hyperlink r:id="rId19" w:history="1">
        <w:r>
          <w:rPr>
            <w:rStyle w:val="Collegamentoipertestuale"/>
            <w:rFonts w:cs="Times New Roman"/>
          </w:rPr>
          <w:t>407</w:t>
        </w:r>
      </w:hyperlink>
      <w:r>
        <w:rPr>
          <w:rFonts w:cs="Times New Roman"/>
        </w:rPr>
        <w:t xml:space="preserve">, comma 2, lettera a) del codice di procedura penale, fatta eccezione per quelli consumati o tentati di cui agli articoli </w:t>
      </w:r>
      <w:hyperlink r:id="rId20" w:history="1">
        <w:r>
          <w:rPr>
            <w:rStyle w:val="Collegamentoipertestuale"/>
            <w:rFonts w:cs="Times New Roman"/>
          </w:rPr>
          <w:t>628</w:t>
        </w:r>
      </w:hyperlink>
      <w:r>
        <w:rPr>
          <w:rFonts w:cs="Times New Roman"/>
        </w:rPr>
        <w:t xml:space="preserve">, terzo comma e </w:t>
      </w:r>
      <w:hyperlink r:id="rId21" w:history="1">
        <w:r>
          <w:rPr>
            <w:rStyle w:val="Collegamentoipertestuale"/>
            <w:rFonts w:cs="Times New Roman"/>
          </w:rPr>
          <w:t>629</w:t>
        </w:r>
      </w:hyperlink>
      <w:r>
        <w:rPr>
          <w:rFonts w:cs="Times New Roman"/>
        </w:rPr>
        <w:t>, secondo comma, del codice penale. In caso di concorso di reati o di unificazione di pene concorrenti, l'espulsione è disposta anche quando sia stata espiata la parte di pena relativa alla condanna per reati che non la consentono.</w:t>
      </w:r>
    </w:p>
    <w:p w:rsidR="00AD5B1F" w:rsidRDefault="00AD5B1F" w:rsidP="00AD5B1F">
      <w:pPr>
        <w:pStyle w:val="comma"/>
        <w:spacing w:before="2" w:after="2"/>
        <w:rPr>
          <w:rFonts w:cs="Times New Roman"/>
        </w:rPr>
      </w:pPr>
      <w:r>
        <w:rPr>
          <w:rFonts w:cs="Times New Roman"/>
        </w:rPr>
        <w:t>5-bis. Nei casi di cui al comma 5, all'atto dell'ingresso in carcere di un cittadino straniero, la direzione dell'istituto penitenziario richiede al questore del luogo le informazioni sulla identità e nazionalità dello stesso. Nei medesimi casi, il questore avvia la procedura di identificazione interessando le competenti autorità diplomatiche e procede all'eventuale espulsione dei cittadini stranieri identificati. A tal fine, il Ministro della giustizia ed il Ministro dell'interno adottano i necessari strumenti di coordinamento.</w:t>
      </w:r>
    </w:p>
    <w:p w:rsidR="00AD5B1F" w:rsidRDefault="00AD5B1F" w:rsidP="00AD5B1F">
      <w:pPr>
        <w:pStyle w:val="comma"/>
        <w:spacing w:before="2" w:after="2"/>
        <w:rPr>
          <w:rFonts w:cs="Times New Roman"/>
        </w:rPr>
      </w:pPr>
      <w:r>
        <w:rPr>
          <w:rFonts w:cs="Times New Roman"/>
        </w:rPr>
        <w:t>5-ter. Le informazioni sulla identità e nazionalità del detenuto straniero sono inserite nella cartella personale dello stesso prevista dall'articolo 26 del decreto del Presidente della Repubblica 30 giugno 2000, n. 230.</w:t>
      </w:r>
    </w:p>
    <w:p w:rsidR="00AD5B1F" w:rsidRDefault="00AD5B1F" w:rsidP="00AD5B1F">
      <w:pPr>
        <w:pStyle w:val="comma"/>
        <w:spacing w:before="2" w:after="2"/>
        <w:rPr>
          <w:rFonts w:cs="Times New Roman"/>
        </w:rPr>
      </w:pPr>
      <w:r>
        <w:rPr>
          <w:rFonts w:cs="Times New Roman"/>
        </w:rPr>
        <w:t>6. Salvo che il questore comunichi che non è stato possibile procedere all'identificazione dello straniero, la direzione dell'istituto penitenziario trasmette gli atti utili per l'adozione del provvedimento di espulsione al magistrato di sorveglianza competente in relazione al luogo di detenzione del condannato. Il magistrato decide con decreto motivato, senza formalità. Il decreto è comunicato al pubblico ministero, allo straniero e al suo difensore, i quali, entro il termine di dieci giorni, possono proporre opposizione dinanzi al tribunale di sorveglianza. Se lo straniero non è assistito da un difensore di fiducia, il magistrato provvede alla nomina di un difensore d'ufficio. Il tribunale decide nel termine di 20 giorni.</w:t>
      </w:r>
    </w:p>
    <w:p w:rsidR="00AD5B1F" w:rsidRDefault="00AD5B1F" w:rsidP="00AD5B1F">
      <w:pPr>
        <w:pStyle w:val="comma"/>
        <w:spacing w:before="2" w:after="2"/>
        <w:rPr>
          <w:rFonts w:cs="Times New Roman"/>
        </w:rPr>
      </w:pPr>
      <w:r>
        <w:rPr>
          <w:rFonts w:cs="Times New Roman"/>
        </w:rPr>
        <w:t>7. L'esecuzione del decreto di espulsione di cui al comma 6 è sospesa fino alla decorrenza dei termini di impugnazione o della decisione del tribunale di sorveglianza e, comunque, lo stato di detenzione permane fino a quando non siano stati acquisiti i necessari documenti di viaggio. L'espulsione è eseguita dal questore competente per il luogo di detenzione dello straniero con la modalità dell'accompagnamento alla frontiera a mezzo della forza pubblica.</w:t>
      </w:r>
    </w:p>
    <w:p w:rsidR="00AD5B1F" w:rsidRDefault="00AD5B1F" w:rsidP="00AD5B1F">
      <w:pPr>
        <w:pStyle w:val="comma"/>
        <w:spacing w:before="2" w:after="2"/>
        <w:rPr>
          <w:rFonts w:cs="Times New Roman"/>
        </w:rPr>
      </w:pPr>
      <w:r>
        <w:rPr>
          <w:rFonts w:cs="Times New Roman"/>
        </w:rPr>
        <w:t>8. La pena è estinta alla scadenza del termine di dieci anni dall'esecuzione dell'espulsione di cui al comma 5, sempre che lo straniero non sia rientrato illegittimamente nel territorio dello Stato. In tale caso, lo stato di detenzione è ripristinato e riprende l'esecuzione della pena.</w:t>
      </w:r>
    </w:p>
    <w:p w:rsidR="00AD5B1F" w:rsidRDefault="00AD5B1F" w:rsidP="00AD5B1F">
      <w:pPr>
        <w:pStyle w:val="comma"/>
        <w:spacing w:before="2" w:after="2"/>
        <w:rPr>
          <w:rFonts w:cs="Times New Roman"/>
        </w:rPr>
      </w:pPr>
      <w:r>
        <w:rPr>
          <w:rFonts w:cs="Times New Roman"/>
        </w:rPr>
        <w:t xml:space="preserve">9. L'espulsione a titolo di sanzione sostitutiva o alternativa alla detenzione non si applica ai casi di cui all'articolo </w:t>
      </w:r>
      <w:hyperlink r:id="rId22" w:history="1">
        <w:r>
          <w:rPr>
            <w:rStyle w:val="Collegamentoipertestuale"/>
            <w:rFonts w:cs="Times New Roman"/>
          </w:rPr>
          <w:t>19</w:t>
        </w:r>
      </w:hyperlink>
      <w:r>
        <w:rPr>
          <w:rFonts w:cs="Times New Roman"/>
        </w:rPr>
        <w:t>.</w:t>
      </w:r>
    </w:p>
    <w:p w:rsidR="00AD5B1F" w:rsidRDefault="00AD5B1F" w:rsidP="00AD5B1F">
      <w:pPr>
        <w:pStyle w:val="comma"/>
        <w:spacing w:before="2" w:after="2"/>
        <w:rPr>
          <w:rFonts w:cs="Times New Roman"/>
        </w:rPr>
      </w:pPr>
      <w:r>
        <w:rPr>
          <w:rFonts w:cs="Times New Roman"/>
        </w:rPr>
        <w:t>9-bis. Nei casi di cui ai commi 1 e 5, quando non è possibile effettuare il rimpatrio dello straniero per cause di forza maggiore, l'autorità giudiziaria dispone il ripristino dello stato di detenzione per il tempo strettamente necessario all'esecuzione del provvedimento di espulsione.</w:t>
      </w:r>
    </w:p>
    <w:p w:rsidR="00A50EE1" w:rsidRDefault="00AD5B1F" w:rsidP="00AD5B1F">
      <w:pPr>
        <w:spacing w:beforeLines="1" w:afterLines="1"/>
      </w:pPr>
    </w:p>
    <w:sectPr w:rsidR="00A50EE1" w:rsidSect="00A50EE1">
      <w:pgSz w:w="11900" w:h="16840"/>
      <w:pgMar w:top="1417" w:right="1134" w:bottom="1134" w:left="1134"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D3C9F"/>
    <w:multiLevelType w:val="multilevel"/>
    <w:tmpl w:val="C97C5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440FB9"/>
    <w:multiLevelType w:val="multilevel"/>
    <w:tmpl w:val="B43A9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7E40C2"/>
    <w:multiLevelType w:val="multilevel"/>
    <w:tmpl w:val="114CF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734F3E"/>
    <w:multiLevelType w:val="multilevel"/>
    <w:tmpl w:val="AA38B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C4B4BE5"/>
    <w:multiLevelType w:val="multilevel"/>
    <w:tmpl w:val="C95C8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40361FD"/>
    <w:multiLevelType w:val="multilevel"/>
    <w:tmpl w:val="EF529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1"/>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283"/>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4158C"/>
    <w:rsid w:val="00897237"/>
    <w:rsid w:val="00AD5B1F"/>
    <w:rsid w:val="00C01AFC"/>
    <w:rsid w:val="00E50751"/>
    <w:rsid w:val="00EF0CB4"/>
    <w:rsid w:val="00F4158C"/>
  </w:rsids>
  <m:mathPr>
    <m:mathFont m:val="Wingdings 2"/>
    <m:brkBin m:val="before"/>
    <m:brkBinSub m:val="--"/>
    <m:smallFrac m:val="off"/>
    <m:dispDef m:val="off"/>
    <m:lMargin m:val="0"/>
    <m:rMargin m:val="0"/>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B2DEC"/>
  </w:style>
  <w:style w:type="paragraph" w:styleId="Titolo1">
    <w:name w:val="heading 1"/>
    <w:basedOn w:val="Normale"/>
    <w:link w:val="Titolo1Carattere"/>
    <w:uiPriority w:val="9"/>
    <w:rsid w:val="00F4158C"/>
    <w:pPr>
      <w:spacing w:beforeLines="1" w:afterLines="1"/>
      <w:outlineLvl w:val="0"/>
    </w:pPr>
    <w:rPr>
      <w:rFonts w:ascii="Times" w:hAnsi="Times"/>
      <w:b/>
      <w:kern w:val="36"/>
      <w:sz w:val="48"/>
      <w:szCs w:val="20"/>
      <w:lang w:eastAsia="it-IT"/>
    </w:rPr>
  </w:style>
  <w:style w:type="paragraph" w:styleId="Titolo2">
    <w:name w:val="heading 2"/>
    <w:basedOn w:val="Normale"/>
    <w:link w:val="Titolo2Carattere"/>
    <w:uiPriority w:val="9"/>
    <w:rsid w:val="00F4158C"/>
    <w:pPr>
      <w:spacing w:beforeLines="1" w:afterLines="1"/>
      <w:outlineLvl w:val="1"/>
    </w:pPr>
    <w:rPr>
      <w:rFonts w:ascii="Times" w:hAnsi="Times"/>
      <w:b/>
      <w:sz w:val="36"/>
      <w:szCs w:val="20"/>
      <w:lang w:eastAsia="it-IT"/>
    </w:rPr>
  </w:style>
  <w:style w:type="paragraph" w:styleId="Titolo3">
    <w:name w:val="heading 3"/>
    <w:basedOn w:val="Normale"/>
    <w:link w:val="Titolo3Carattere"/>
    <w:uiPriority w:val="9"/>
    <w:rsid w:val="00F4158C"/>
    <w:pPr>
      <w:spacing w:beforeLines="1" w:afterLines="1"/>
      <w:outlineLvl w:val="2"/>
    </w:pPr>
    <w:rPr>
      <w:rFonts w:ascii="Times" w:hAnsi="Times"/>
      <w:b/>
      <w:sz w:val="27"/>
      <w:szCs w:val="20"/>
      <w:lang w:eastAsia="it-IT"/>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character" w:customStyle="1" w:styleId="Titolo1Carattere">
    <w:name w:val="Titolo 1 Carattere"/>
    <w:basedOn w:val="Caratterepredefinitoparagrafo"/>
    <w:link w:val="Titolo1"/>
    <w:uiPriority w:val="9"/>
    <w:rsid w:val="00F4158C"/>
    <w:rPr>
      <w:rFonts w:ascii="Times" w:hAnsi="Times"/>
      <w:b/>
      <w:kern w:val="36"/>
      <w:sz w:val="48"/>
      <w:szCs w:val="20"/>
      <w:lang w:eastAsia="it-IT"/>
    </w:rPr>
  </w:style>
  <w:style w:type="character" w:customStyle="1" w:styleId="Titolo2Carattere">
    <w:name w:val="Titolo 2 Carattere"/>
    <w:basedOn w:val="Caratterepredefinitoparagrafo"/>
    <w:link w:val="Titolo2"/>
    <w:uiPriority w:val="9"/>
    <w:rsid w:val="00F4158C"/>
    <w:rPr>
      <w:rFonts w:ascii="Times" w:hAnsi="Times"/>
      <w:b/>
      <w:sz w:val="36"/>
      <w:szCs w:val="20"/>
      <w:lang w:eastAsia="it-IT"/>
    </w:rPr>
  </w:style>
  <w:style w:type="character" w:customStyle="1" w:styleId="Titolo3Carattere">
    <w:name w:val="Titolo 3 Carattere"/>
    <w:basedOn w:val="Caratterepredefinitoparagrafo"/>
    <w:link w:val="Titolo3"/>
    <w:uiPriority w:val="9"/>
    <w:rsid w:val="00F4158C"/>
    <w:rPr>
      <w:rFonts w:ascii="Times" w:hAnsi="Times"/>
      <w:b/>
      <w:sz w:val="27"/>
      <w:szCs w:val="20"/>
      <w:lang w:eastAsia="it-IT"/>
    </w:rPr>
  </w:style>
  <w:style w:type="paragraph" w:customStyle="1" w:styleId="comma">
    <w:name w:val="comma"/>
    <w:basedOn w:val="Normale"/>
    <w:rsid w:val="00F4158C"/>
    <w:pPr>
      <w:spacing w:beforeLines="1" w:afterLines="1"/>
    </w:pPr>
    <w:rPr>
      <w:rFonts w:ascii="Times" w:hAnsi="Times"/>
      <w:sz w:val="20"/>
      <w:szCs w:val="20"/>
      <w:lang w:eastAsia="it-IT"/>
    </w:rPr>
  </w:style>
  <w:style w:type="character" w:styleId="Collegamentoipertestuale">
    <w:name w:val="Hyperlink"/>
    <w:basedOn w:val="Caratterepredefinitoparagrafo"/>
    <w:uiPriority w:val="99"/>
    <w:rsid w:val="00F4158C"/>
    <w:rPr>
      <w:color w:val="0000FF"/>
      <w:u w:val="single"/>
    </w:rPr>
  </w:style>
  <w:style w:type="character" w:styleId="Collegamentovisitato">
    <w:name w:val="FollowedHyperlink"/>
    <w:basedOn w:val="Caratterepredefinitoparagrafo"/>
    <w:uiPriority w:val="99"/>
    <w:rsid w:val="00E50751"/>
    <w:rPr>
      <w:color w:val="0000FF"/>
      <w:u w:val="single"/>
    </w:rPr>
  </w:style>
</w:styles>
</file>

<file path=word/webSettings.xml><?xml version="1.0" encoding="utf-8"?>
<w:webSettings xmlns:r="http://schemas.openxmlformats.org/officeDocument/2006/relationships" xmlns:w="http://schemas.openxmlformats.org/wordprocessingml/2006/main">
  <w:divs>
    <w:div w:id="75830102">
      <w:bodyDiv w:val="1"/>
      <w:marLeft w:val="0"/>
      <w:marRight w:val="0"/>
      <w:marTop w:val="0"/>
      <w:marBottom w:val="0"/>
      <w:divBdr>
        <w:top w:val="none" w:sz="0" w:space="0" w:color="auto"/>
        <w:left w:val="none" w:sz="0" w:space="0" w:color="auto"/>
        <w:bottom w:val="none" w:sz="0" w:space="0" w:color="auto"/>
        <w:right w:val="none" w:sz="0" w:space="0" w:color="auto"/>
      </w:divBdr>
      <w:divsChild>
        <w:div w:id="1872960497">
          <w:marLeft w:val="0"/>
          <w:marRight w:val="0"/>
          <w:marTop w:val="0"/>
          <w:marBottom w:val="0"/>
          <w:divBdr>
            <w:top w:val="none" w:sz="0" w:space="0" w:color="auto"/>
            <w:left w:val="none" w:sz="0" w:space="0" w:color="auto"/>
            <w:bottom w:val="none" w:sz="0" w:space="0" w:color="auto"/>
            <w:right w:val="none" w:sz="0" w:space="0" w:color="auto"/>
          </w:divBdr>
          <w:divsChild>
            <w:div w:id="1529636218">
              <w:marLeft w:val="0"/>
              <w:marRight w:val="0"/>
              <w:marTop w:val="0"/>
              <w:marBottom w:val="0"/>
              <w:divBdr>
                <w:top w:val="none" w:sz="0" w:space="0" w:color="auto"/>
                <w:left w:val="none" w:sz="0" w:space="0" w:color="auto"/>
                <w:bottom w:val="none" w:sz="0" w:space="0" w:color="auto"/>
                <w:right w:val="none" w:sz="0" w:space="0" w:color="auto"/>
              </w:divBdr>
            </w:div>
            <w:div w:id="36112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64588">
      <w:bodyDiv w:val="1"/>
      <w:marLeft w:val="0"/>
      <w:marRight w:val="0"/>
      <w:marTop w:val="0"/>
      <w:marBottom w:val="0"/>
      <w:divBdr>
        <w:top w:val="none" w:sz="0" w:space="0" w:color="auto"/>
        <w:left w:val="none" w:sz="0" w:space="0" w:color="auto"/>
        <w:bottom w:val="none" w:sz="0" w:space="0" w:color="auto"/>
        <w:right w:val="none" w:sz="0" w:space="0" w:color="auto"/>
      </w:divBdr>
      <w:divsChild>
        <w:div w:id="938761319">
          <w:marLeft w:val="0"/>
          <w:marRight w:val="0"/>
          <w:marTop w:val="0"/>
          <w:marBottom w:val="0"/>
          <w:divBdr>
            <w:top w:val="none" w:sz="0" w:space="0" w:color="auto"/>
            <w:left w:val="none" w:sz="0" w:space="0" w:color="auto"/>
            <w:bottom w:val="none" w:sz="0" w:space="0" w:color="auto"/>
            <w:right w:val="none" w:sz="0" w:space="0" w:color="auto"/>
          </w:divBdr>
          <w:divsChild>
            <w:div w:id="1664890585">
              <w:marLeft w:val="0"/>
              <w:marRight w:val="0"/>
              <w:marTop w:val="0"/>
              <w:marBottom w:val="0"/>
              <w:divBdr>
                <w:top w:val="none" w:sz="0" w:space="0" w:color="auto"/>
                <w:left w:val="none" w:sz="0" w:space="0" w:color="auto"/>
                <w:bottom w:val="none" w:sz="0" w:space="0" w:color="auto"/>
                <w:right w:val="none" w:sz="0" w:space="0" w:color="auto"/>
              </w:divBdr>
            </w:div>
            <w:div w:id="86031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04444">
      <w:bodyDiv w:val="1"/>
      <w:marLeft w:val="0"/>
      <w:marRight w:val="0"/>
      <w:marTop w:val="0"/>
      <w:marBottom w:val="0"/>
      <w:divBdr>
        <w:top w:val="none" w:sz="0" w:space="0" w:color="auto"/>
        <w:left w:val="none" w:sz="0" w:space="0" w:color="auto"/>
        <w:bottom w:val="none" w:sz="0" w:space="0" w:color="auto"/>
        <w:right w:val="none" w:sz="0" w:space="0" w:color="auto"/>
      </w:divBdr>
      <w:divsChild>
        <w:div w:id="683441661">
          <w:marLeft w:val="0"/>
          <w:marRight w:val="0"/>
          <w:marTop w:val="0"/>
          <w:marBottom w:val="0"/>
          <w:divBdr>
            <w:top w:val="none" w:sz="0" w:space="0" w:color="auto"/>
            <w:left w:val="none" w:sz="0" w:space="0" w:color="auto"/>
            <w:bottom w:val="none" w:sz="0" w:space="0" w:color="auto"/>
            <w:right w:val="none" w:sz="0" w:space="0" w:color="auto"/>
          </w:divBdr>
        </w:div>
      </w:divsChild>
    </w:div>
    <w:div w:id="297539889">
      <w:bodyDiv w:val="1"/>
      <w:marLeft w:val="0"/>
      <w:marRight w:val="0"/>
      <w:marTop w:val="0"/>
      <w:marBottom w:val="0"/>
      <w:divBdr>
        <w:top w:val="none" w:sz="0" w:space="0" w:color="auto"/>
        <w:left w:val="none" w:sz="0" w:space="0" w:color="auto"/>
        <w:bottom w:val="none" w:sz="0" w:space="0" w:color="auto"/>
        <w:right w:val="none" w:sz="0" w:space="0" w:color="auto"/>
      </w:divBdr>
      <w:divsChild>
        <w:div w:id="352460646">
          <w:marLeft w:val="0"/>
          <w:marRight w:val="0"/>
          <w:marTop w:val="0"/>
          <w:marBottom w:val="0"/>
          <w:divBdr>
            <w:top w:val="none" w:sz="0" w:space="0" w:color="auto"/>
            <w:left w:val="none" w:sz="0" w:space="0" w:color="auto"/>
            <w:bottom w:val="none" w:sz="0" w:space="0" w:color="auto"/>
            <w:right w:val="none" w:sz="0" w:space="0" w:color="auto"/>
          </w:divBdr>
        </w:div>
      </w:divsChild>
    </w:div>
    <w:div w:id="588656480">
      <w:bodyDiv w:val="1"/>
      <w:marLeft w:val="0"/>
      <w:marRight w:val="0"/>
      <w:marTop w:val="0"/>
      <w:marBottom w:val="0"/>
      <w:divBdr>
        <w:top w:val="none" w:sz="0" w:space="0" w:color="auto"/>
        <w:left w:val="none" w:sz="0" w:space="0" w:color="auto"/>
        <w:bottom w:val="none" w:sz="0" w:space="0" w:color="auto"/>
        <w:right w:val="none" w:sz="0" w:space="0" w:color="auto"/>
      </w:divBdr>
      <w:divsChild>
        <w:div w:id="1852572486">
          <w:marLeft w:val="0"/>
          <w:marRight w:val="0"/>
          <w:marTop w:val="0"/>
          <w:marBottom w:val="0"/>
          <w:divBdr>
            <w:top w:val="none" w:sz="0" w:space="0" w:color="auto"/>
            <w:left w:val="none" w:sz="0" w:space="0" w:color="auto"/>
            <w:bottom w:val="none" w:sz="0" w:space="0" w:color="auto"/>
            <w:right w:val="none" w:sz="0" w:space="0" w:color="auto"/>
          </w:divBdr>
          <w:divsChild>
            <w:div w:id="2049405362">
              <w:marLeft w:val="0"/>
              <w:marRight w:val="0"/>
              <w:marTop w:val="0"/>
              <w:marBottom w:val="0"/>
              <w:divBdr>
                <w:top w:val="none" w:sz="0" w:space="0" w:color="auto"/>
                <w:left w:val="none" w:sz="0" w:space="0" w:color="auto"/>
                <w:bottom w:val="none" w:sz="0" w:space="0" w:color="auto"/>
                <w:right w:val="none" w:sz="0" w:space="0" w:color="auto"/>
              </w:divBdr>
            </w:div>
            <w:div w:id="192402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656036">
      <w:bodyDiv w:val="1"/>
      <w:marLeft w:val="0"/>
      <w:marRight w:val="0"/>
      <w:marTop w:val="0"/>
      <w:marBottom w:val="0"/>
      <w:divBdr>
        <w:top w:val="none" w:sz="0" w:space="0" w:color="auto"/>
        <w:left w:val="none" w:sz="0" w:space="0" w:color="auto"/>
        <w:bottom w:val="none" w:sz="0" w:space="0" w:color="auto"/>
        <w:right w:val="none" w:sz="0" w:space="0" w:color="auto"/>
      </w:divBdr>
      <w:divsChild>
        <w:div w:id="1544907751">
          <w:marLeft w:val="0"/>
          <w:marRight w:val="0"/>
          <w:marTop w:val="0"/>
          <w:marBottom w:val="0"/>
          <w:divBdr>
            <w:top w:val="none" w:sz="0" w:space="0" w:color="auto"/>
            <w:left w:val="none" w:sz="0" w:space="0" w:color="auto"/>
            <w:bottom w:val="none" w:sz="0" w:space="0" w:color="auto"/>
            <w:right w:val="none" w:sz="0" w:space="0" w:color="auto"/>
          </w:divBdr>
        </w:div>
      </w:divsChild>
    </w:div>
    <w:div w:id="694887896">
      <w:bodyDiv w:val="1"/>
      <w:marLeft w:val="0"/>
      <w:marRight w:val="0"/>
      <w:marTop w:val="0"/>
      <w:marBottom w:val="0"/>
      <w:divBdr>
        <w:top w:val="none" w:sz="0" w:space="0" w:color="auto"/>
        <w:left w:val="none" w:sz="0" w:space="0" w:color="auto"/>
        <w:bottom w:val="none" w:sz="0" w:space="0" w:color="auto"/>
        <w:right w:val="none" w:sz="0" w:space="0" w:color="auto"/>
      </w:divBdr>
      <w:divsChild>
        <w:div w:id="2102876287">
          <w:marLeft w:val="0"/>
          <w:marRight w:val="0"/>
          <w:marTop w:val="0"/>
          <w:marBottom w:val="0"/>
          <w:divBdr>
            <w:top w:val="none" w:sz="0" w:space="0" w:color="auto"/>
            <w:left w:val="none" w:sz="0" w:space="0" w:color="auto"/>
            <w:bottom w:val="none" w:sz="0" w:space="0" w:color="auto"/>
            <w:right w:val="none" w:sz="0" w:space="0" w:color="auto"/>
          </w:divBdr>
        </w:div>
      </w:divsChild>
    </w:div>
    <w:div w:id="840051014">
      <w:bodyDiv w:val="1"/>
      <w:marLeft w:val="0"/>
      <w:marRight w:val="0"/>
      <w:marTop w:val="0"/>
      <w:marBottom w:val="0"/>
      <w:divBdr>
        <w:top w:val="none" w:sz="0" w:space="0" w:color="auto"/>
        <w:left w:val="none" w:sz="0" w:space="0" w:color="auto"/>
        <w:bottom w:val="none" w:sz="0" w:space="0" w:color="auto"/>
        <w:right w:val="none" w:sz="0" w:space="0" w:color="auto"/>
      </w:divBdr>
      <w:divsChild>
        <w:div w:id="1915890305">
          <w:marLeft w:val="0"/>
          <w:marRight w:val="0"/>
          <w:marTop w:val="0"/>
          <w:marBottom w:val="0"/>
          <w:divBdr>
            <w:top w:val="none" w:sz="0" w:space="0" w:color="auto"/>
            <w:left w:val="none" w:sz="0" w:space="0" w:color="auto"/>
            <w:bottom w:val="none" w:sz="0" w:space="0" w:color="auto"/>
            <w:right w:val="none" w:sz="0" w:space="0" w:color="auto"/>
          </w:divBdr>
          <w:divsChild>
            <w:div w:id="1334264592">
              <w:marLeft w:val="0"/>
              <w:marRight w:val="0"/>
              <w:marTop w:val="0"/>
              <w:marBottom w:val="0"/>
              <w:divBdr>
                <w:top w:val="none" w:sz="0" w:space="0" w:color="auto"/>
                <w:left w:val="none" w:sz="0" w:space="0" w:color="auto"/>
                <w:bottom w:val="none" w:sz="0" w:space="0" w:color="auto"/>
                <w:right w:val="none" w:sz="0" w:space="0" w:color="auto"/>
              </w:divBdr>
            </w:div>
            <w:div w:id="139631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328196">
      <w:bodyDiv w:val="1"/>
      <w:marLeft w:val="0"/>
      <w:marRight w:val="0"/>
      <w:marTop w:val="0"/>
      <w:marBottom w:val="0"/>
      <w:divBdr>
        <w:top w:val="none" w:sz="0" w:space="0" w:color="auto"/>
        <w:left w:val="none" w:sz="0" w:space="0" w:color="auto"/>
        <w:bottom w:val="none" w:sz="0" w:space="0" w:color="auto"/>
        <w:right w:val="none" w:sz="0" w:space="0" w:color="auto"/>
      </w:divBdr>
      <w:divsChild>
        <w:div w:id="2019846012">
          <w:marLeft w:val="0"/>
          <w:marRight w:val="0"/>
          <w:marTop w:val="0"/>
          <w:marBottom w:val="0"/>
          <w:divBdr>
            <w:top w:val="none" w:sz="0" w:space="0" w:color="auto"/>
            <w:left w:val="none" w:sz="0" w:space="0" w:color="auto"/>
            <w:bottom w:val="none" w:sz="0" w:space="0" w:color="auto"/>
            <w:right w:val="none" w:sz="0" w:space="0" w:color="auto"/>
          </w:divBdr>
          <w:divsChild>
            <w:div w:id="600801087">
              <w:marLeft w:val="0"/>
              <w:marRight w:val="0"/>
              <w:marTop w:val="0"/>
              <w:marBottom w:val="0"/>
              <w:divBdr>
                <w:top w:val="none" w:sz="0" w:space="0" w:color="auto"/>
                <w:left w:val="none" w:sz="0" w:space="0" w:color="auto"/>
                <w:bottom w:val="none" w:sz="0" w:space="0" w:color="auto"/>
                <w:right w:val="none" w:sz="0" w:space="0" w:color="auto"/>
              </w:divBdr>
            </w:div>
            <w:div w:id="12035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137085">
      <w:bodyDiv w:val="1"/>
      <w:marLeft w:val="0"/>
      <w:marRight w:val="0"/>
      <w:marTop w:val="0"/>
      <w:marBottom w:val="0"/>
      <w:divBdr>
        <w:top w:val="none" w:sz="0" w:space="0" w:color="auto"/>
        <w:left w:val="none" w:sz="0" w:space="0" w:color="auto"/>
        <w:bottom w:val="none" w:sz="0" w:space="0" w:color="auto"/>
        <w:right w:val="none" w:sz="0" w:space="0" w:color="auto"/>
      </w:divBdr>
      <w:divsChild>
        <w:div w:id="95055996">
          <w:marLeft w:val="0"/>
          <w:marRight w:val="0"/>
          <w:marTop w:val="0"/>
          <w:marBottom w:val="0"/>
          <w:divBdr>
            <w:top w:val="none" w:sz="0" w:space="0" w:color="auto"/>
            <w:left w:val="none" w:sz="0" w:space="0" w:color="auto"/>
            <w:bottom w:val="none" w:sz="0" w:space="0" w:color="auto"/>
            <w:right w:val="none" w:sz="0" w:space="0" w:color="auto"/>
          </w:divBdr>
          <w:divsChild>
            <w:div w:id="1240411037">
              <w:marLeft w:val="0"/>
              <w:marRight w:val="0"/>
              <w:marTop w:val="0"/>
              <w:marBottom w:val="0"/>
              <w:divBdr>
                <w:top w:val="none" w:sz="0" w:space="0" w:color="auto"/>
                <w:left w:val="none" w:sz="0" w:space="0" w:color="auto"/>
                <w:bottom w:val="none" w:sz="0" w:space="0" w:color="auto"/>
                <w:right w:val="none" w:sz="0" w:space="0" w:color="auto"/>
              </w:divBdr>
            </w:div>
            <w:div w:id="118236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495946">
      <w:bodyDiv w:val="1"/>
      <w:marLeft w:val="0"/>
      <w:marRight w:val="0"/>
      <w:marTop w:val="0"/>
      <w:marBottom w:val="0"/>
      <w:divBdr>
        <w:top w:val="none" w:sz="0" w:space="0" w:color="auto"/>
        <w:left w:val="none" w:sz="0" w:space="0" w:color="auto"/>
        <w:bottom w:val="none" w:sz="0" w:space="0" w:color="auto"/>
        <w:right w:val="none" w:sz="0" w:space="0" w:color="auto"/>
      </w:divBdr>
      <w:divsChild>
        <w:div w:id="683678241">
          <w:marLeft w:val="0"/>
          <w:marRight w:val="0"/>
          <w:marTop w:val="0"/>
          <w:marBottom w:val="0"/>
          <w:divBdr>
            <w:top w:val="none" w:sz="0" w:space="0" w:color="auto"/>
            <w:left w:val="none" w:sz="0" w:space="0" w:color="auto"/>
            <w:bottom w:val="none" w:sz="0" w:space="0" w:color="auto"/>
            <w:right w:val="none" w:sz="0" w:space="0" w:color="auto"/>
          </w:divBdr>
        </w:div>
      </w:divsChild>
    </w:div>
    <w:div w:id="2094354320">
      <w:bodyDiv w:val="1"/>
      <w:marLeft w:val="0"/>
      <w:marRight w:val="0"/>
      <w:marTop w:val="0"/>
      <w:marBottom w:val="0"/>
      <w:divBdr>
        <w:top w:val="none" w:sz="0" w:space="0" w:color="auto"/>
        <w:left w:val="none" w:sz="0" w:space="0" w:color="auto"/>
        <w:bottom w:val="none" w:sz="0" w:space="0" w:color="auto"/>
        <w:right w:val="none" w:sz="0" w:space="0" w:color="auto"/>
      </w:divBdr>
      <w:divsChild>
        <w:div w:id="1215241371">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brocardi.it/testo-unico-immigrazione/titolo-ii/capo-ii/art14.html" TargetMode="External"/><Relationship Id="rId20" Type="http://schemas.openxmlformats.org/officeDocument/2006/relationships/hyperlink" Target="https://www.brocardi.it/codice-penale/libro-secondo/titolo-xiii/capo-i/art628.html" TargetMode="External"/><Relationship Id="rId21" Type="http://schemas.openxmlformats.org/officeDocument/2006/relationships/hyperlink" Target="https://www.brocardi.it/codice-penale/libro-secondo/titolo-xiii/capo-i/art629.html" TargetMode="External"/><Relationship Id="rId22" Type="http://schemas.openxmlformats.org/officeDocument/2006/relationships/hyperlink" Target="https://www.brocardi.it/testo-unico-immigrazione/titolo-ii/capo-iii/art19.html" TargetMode="Externa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www.brocardi.it/testo-unico-immigrazione/titolo-ii/capo-ii/art13.html" TargetMode="External"/><Relationship Id="rId11" Type="http://schemas.openxmlformats.org/officeDocument/2006/relationships/hyperlink" Target="https://www.brocardi.it/testo-unico-immigrazione/titolo-ii/capo-ii/art10bis.html" TargetMode="External"/><Relationship Id="rId12" Type="http://schemas.openxmlformats.org/officeDocument/2006/relationships/hyperlink" Target="https://www.brocardi.it/testo-unico-immigrazione/titolo-ii/capo-ii/art14.html" TargetMode="External"/><Relationship Id="rId13" Type="http://schemas.openxmlformats.org/officeDocument/2006/relationships/hyperlink" Target="https://www.brocardi.it/testo-unico-immigrazione/titolo-ii/capo-ii/art13.html" TargetMode="External"/><Relationship Id="rId14" Type="http://schemas.openxmlformats.org/officeDocument/2006/relationships/hyperlink" Target="https://www.brocardi.it/testo-unico-immigrazione/titolo-ii/capo-ii/art13.html" TargetMode="External"/><Relationship Id="rId15" Type="http://schemas.openxmlformats.org/officeDocument/2006/relationships/hyperlink" Target="https://www.brocardi.it/codice-di-procedura-penale/libro-quinto/titolo-viii/art407.html" TargetMode="External"/><Relationship Id="rId16" Type="http://schemas.openxmlformats.org/officeDocument/2006/relationships/hyperlink" Target="https://www.brocardi.it/testo-unico-immigrazione/titolo-ii/capo-ii/art13.html" TargetMode="External"/><Relationship Id="rId17" Type="http://schemas.openxmlformats.org/officeDocument/2006/relationships/hyperlink" Target="https://www.brocardi.it/testo-unico-immigrazione/titolo-ii/capo-ii/art13.html" TargetMode="External"/><Relationship Id="rId18" Type="http://schemas.openxmlformats.org/officeDocument/2006/relationships/hyperlink" Target="https://www.brocardi.it/testo-unico-immigrazione/titolo-ii/capo-ii/art12.html" TargetMode="External"/><Relationship Id="rId19" Type="http://schemas.openxmlformats.org/officeDocument/2006/relationships/hyperlink" Target="https://www.brocardi.it/codice-di-procedura-penale/libro-quinto/titolo-viii/art407.html"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www.brocardi.it/codice-di-procedura-penale/libro-sesto/titolo-ii/art444.html" TargetMode="External"/><Relationship Id="rId6" Type="http://schemas.openxmlformats.org/officeDocument/2006/relationships/hyperlink" Target="https://www.brocardi.it/testo-unico-immigrazione/titolo-ii/capo-ii/art13.html" TargetMode="External"/><Relationship Id="rId7" Type="http://schemas.openxmlformats.org/officeDocument/2006/relationships/hyperlink" Target="https://www.brocardi.it/codice-penale/libro-primo/titolo-vi/capo-i/art163.html" TargetMode="External"/><Relationship Id="rId8" Type="http://schemas.openxmlformats.org/officeDocument/2006/relationships/hyperlink" Target="https://www.brocardi.it/testo-unico-immigrazione/titolo-ii/capo-ii/art10bis.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1073</Words>
  <Characters>6121</Characters>
  <Application>Microsoft Macintosh Word</Application>
  <DocSecurity>0</DocSecurity>
  <Lines>51</Lines>
  <Paragraphs>12</Paragraphs>
  <ScaleCrop>false</ScaleCrop>
  <Company>...</Company>
  <LinksUpToDate>false</LinksUpToDate>
  <CharactersWithSpaces>7517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Massimiliano Chiuchiolo</dc:creator>
  <cp:keywords/>
  <cp:lastModifiedBy>Massimiliano Chiuchiolo</cp:lastModifiedBy>
  <cp:revision>2</cp:revision>
  <dcterms:created xsi:type="dcterms:W3CDTF">2025-05-06T11:44:00Z</dcterms:created>
  <dcterms:modified xsi:type="dcterms:W3CDTF">2025-05-06T11:44:00Z</dcterms:modified>
</cp:coreProperties>
</file>